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5C384" w14:textId="77777777" w:rsidR="001E6D66" w:rsidRPr="00FA60D6" w:rsidRDefault="00000000">
      <w:pPr>
        <w:pStyle w:val="BodyText"/>
        <w:spacing w:before="90"/>
        <w:ind w:left="395" w:right="233" w:firstLine="719"/>
        <w:jc w:val="both"/>
      </w:pPr>
      <w:r w:rsidRPr="00FA60D6">
        <w:rPr>
          <w:color w:val="231F20"/>
        </w:rPr>
        <w:t>Gradsko vijeće Grada Vinkovaca na svojoj 32. sjednici održanoj dana 20. prosinca 2024. godine, temeljem članka 45. Zakona o proračunu ("Narodne novine" Republike Hrvatske br. 144/21.) članka 36. i 62. Statuta Grada Vinkovaca (“Službeni glasnik” Grada Vinkovaca br. 2/21.)</w:t>
      </w:r>
      <w:r w:rsidRPr="00FA60D6">
        <w:rPr>
          <w:color w:val="231F20"/>
          <w:spacing w:val="40"/>
        </w:rPr>
        <w:t xml:space="preserve"> </w:t>
      </w:r>
      <w:r w:rsidRPr="00FA60D6">
        <w:rPr>
          <w:color w:val="231F20"/>
        </w:rPr>
        <w:t>d o n o s i</w:t>
      </w:r>
    </w:p>
    <w:p w14:paraId="6FFA76D7" w14:textId="77777777" w:rsidR="001E6D66" w:rsidRPr="00FA60D6" w:rsidRDefault="001E6D66">
      <w:pPr>
        <w:pStyle w:val="BodyText"/>
      </w:pPr>
    </w:p>
    <w:p w14:paraId="76AE18C7" w14:textId="77777777" w:rsidR="001E6D66" w:rsidRPr="00FA60D6" w:rsidRDefault="001E6D66">
      <w:pPr>
        <w:pStyle w:val="BodyText"/>
        <w:spacing w:before="4"/>
      </w:pPr>
    </w:p>
    <w:p w14:paraId="0FF9821B" w14:textId="77777777" w:rsidR="001E6D66" w:rsidRPr="00FA60D6" w:rsidRDefault="00000000">
      <w:pPr>
        <w:ind w:left="2680" w:right="25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ODLUKU</w:t>
      </w:r>
    </w:p>
    <w:p w14:paraId="72010A5E" w14:textId="77777777" w:rsidR="001E6D66" w:rsidRPr="00FA60D6" w:rsidRDefault="00000000">
      <w:pPr>
        <w:ind w:left="2675" w:right="25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O</w:t>
      </w:r>
      <w:r w:rsidRPr="00FA60D6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IZMJENAMA</w:t>
      </w:r>
      <w:r w:rsidRPr="00FA60D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ODLUKE</w:t>
      </w:r>
    </w:p>
    <w:p w14:paraId="2CF799B5" w14:textId="77777777" w:rsidR="001E6D66" w:rsidRPr="00FA60D6" w:rsidRDefault="00000000">
      <w:pPr>
        <w:ind w:left="2676" w:right="25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O</w:t>
      </w:r>
      <w:r w:rsidRPr="00FA60D6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IZVRŠAVANJU</w:t>
      </w:r>
      <w:r w:rsidRPr="00FA60D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 xml:space="preserve"> PRORAČUNA</w:t>
      </w:r>
    </w:p>
    <w:p w14:paraId="31D07B6A" w14:textId="77777777" w:rsidR="001E6D66" w:rsidRPr="00FA60D6" w:rsidRDefault="00000000">
      <w:pPr>
        <w:spacing w:before="1"/>
        <w:ind w:left="2680" w:right="25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GRADA</w:t>
      </w:r>
      <w:r w:rsidRPr="00FA60D6">
        <w:rPr>
          <w:rFonts w:ascii="Times New Roman" w:hAnsi="Times New Roman" w:cs="Times New Roman"/>
          <w:b/>
          <w:color w:val="231F20"/>
          <w:spacing w:val="-5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VINKOVACA</w:t>
      </w:r>
      <w:r w:rsidRPr="00FA60D6">
        <w:rPr>
          <w:rFonts w:ascii="Times New Roman" w:hAnsi="Times New Roman" w:cs="Times New Roman"/>
          <w:b/>
          <w:color w:val="231F20"/>
          <w:spacing w:val="-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ZA</w:t>
      </w:r>
      <w:r w:rsidRPr="00FA60D6">
        <w:rPr>
          <w:rFonts w:ascii="Times New Roman" w:hAnsi="Times New Roman" w:cs="Times New Roman"/>
          <w:b/>
          <w:color w:val="231F20"/>
          <w:spacing w:val="-3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2024.</w:t>
      </w:r>
      <w:r w:rsidRPr="00FA60D6">
        <w:rPr>
          <w:rFonts w:ascii="Times New Roman" w:hAnsi="Times New Roman" w:cs="Times New Roman"/>
          <w:b/>
          <w:color w:val="231F20"/>
          <w:spacing w:val="1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GODINU</w:t>
      </w:r>
    </w:p>
    <w:p w14:paraId="261B5000" w14:textId="77777777" w:rsidR="001E6D66" w:rsidRPr="00FA60D6" w:rsidRDefault="001E6D66">
      <w:pPr>
        <w:pStyle w:val="BodyText"/>
        <w:rPr>
          <w:b/>
        </w:rPr>
      </w:pPr>
    </w:p>
    <w:p w14:paraId="00D8D636" w14:textId="77777777" w:rsidR="001E6D66" w:rsidRPr="00FA60D6" w:rsidRDefault="001E6D66">
      <w:pPr>
        <w:pStyle w:val="BodyText"/>
        <w:rPr>
          <w:b/>
        </w:rPr>
      </w:pPr>
    </w:p>
    <w:p w14:paraId="199E90AA" w14:textId="77777777" w:rsidR="001E6D66" w:rsidRPr="00FA60D6" w:rsidRDefault="00000000">
      <w:pPr>
        <w:pStyle w:val="Heading1"/>
        <w:ind w:right="2521"/>
      </w:pPr>
      <w:r w:rsidRPr="00FA60D6">
        <w:rPr>
          <w:color w:val="231F20"/>
        </w:rPr>
        <w:t>Članak</w:t>
      </w:r>
      <w:r w:rsidRPr="00FA60D6">
        <w:rPr>
          <w:color w:val="231F20"/>
          <w:spacing w:val="1"/>
        </w:rPr>
        <w:t xml:space="preserve"> </w:t>
      </w:r>
      <w:r w:rsidRPr="00FA60D6">
        <w:rPr>
          <w:color w:val="231F20"/>
          <w:spacing w:val="-5"/>
        </w:rPr>
        <w:t>1.</w:t>
      </w:r>
    </w:p>
    <w:p w14:paraId="73208254" w14:textId="77777777" w:rsidR="001E6D66" w:rsidRPr="00FA60D6" w:rsidRDefault="001E6D66">
      <w:pPr>
        <w:pStyle w:val="BodyText"/>
        <w:spacing w:before="6"/>
        <w:rPr>
          <w:b/>
        </w:rPr>
      </w:pPr>
    </w:p>
    <w:p w14:paraId="4134BB2D" w14:textId="77777777" w:rsidR="001E6D66" w:rsidRPr="00FA60D6" w:rsidRDefault="00000000">
      <w:pPr>
        <w:pStyle w:val="BodyText"/>
        <w:ind w:left="395" w:right="232"/>
        <w:jc w:val="both"/>
      </w:pPr>
      <w:r w:rsidRPr="00FA60D6">
        <w:rPr>
          <w:color w:val="231F20"/>
        </w:rPr>
        <w:t>U Odluci o izvršavanju Proračuna Grada Vinkovaca za 2024. godinu („Službeni glasnik“ Grada Vinkovaca br. 10/23., 4/24., 6/24. i 11/24.) u članaku 2. iznos „69.608.611,25 €.“ zamjenjuje se iznosom: „59.262.76,47 €“</w:t>
      </w:r>
    </w:p>
    <w:p w14:paraId="1EFD89BD" w14:textId="77777777" w:rsidR="001E6D66" w:rsidRPr="00FA60D6" w:rsidRDefault="001E6D66">
      <w:pPr>
        <w:pStyle w:val="BodyText"/>
      </w:pPr>
    </w:p>
    <w:p w14:paraId="7F99C9B5" w14:textId="77777777" w:rsidR="001E6D66" w:rsidRPr="00FA60D6" w:rsidRDefault="001E6D66">
      <w:pPr>
        <w:pStyle w:val="BodyText"/>
        <w:spacing w:before="5"/>
      </w:pPr>
    </w:p>
    <w:p w14:paraId="49DC31D8" w14:textId="77777777" w:rsidR="001E6D66" w:rsidRPr="00FA60D6" w:rsidRDefault="00000000">
      <w:pPr>
        <w:pStyle w:val="Heading1"/>
        <w:ind w:right="2520"/>
      </w:pPr>
      <w:r w:rsidRPr="00FA60D6">
        <w:rPr>
          <w:color w:val="231F20"/>
        </w:rPr>
        <w:t>Članak</w:t>
      </w:r>
      <w:r w:rsidRPr="00FA60D6">
        <w:rPr>
          <w:color w:val="231F20"/>
          <w:spacing w:val="1"/>
        </w:rPr>
        <w:t xml:space="preserve"> </w:t>
      </w:r>
      <w:r w:rsidRPr="00FA60D6">
        <w:rPr>
          <w:color w:val="231F20"/>
          <w:spacing w:val="-5"/>
        </w:rPr>
        <w:t>2.</w:t>
      </w:r>
    </w:p>
    <w:p w14:paraId="1F710682" w14:textId="77777777" w:rsidR="001E6D66" w:rsidRPr="00FA60D6" w:rsidRDefault="001E6D66">
      <w:pPr>
        <w:pStyle w:val="BodyText"/>
        <w:spacing w:before="7"/>
        <w:rPr>
          <w:b/>
        </w:rPr>
      </w:pPr>
    </w:p>
    <w:p w14:paraId="4E13774D" w14:textId="77777777" w:rsidR="001E6D66" w:rsidRPr="00FA60D6" w:rsidRDefault="00000000">
      <w:pPr>
        <w:pStyle w:val="BodyText"/>
        <w:ind w:left="396" w:right="238" w:hanging="1"/>
        <w:jc w:val="both"/>
      </w:pPr>
      <w:r w:rsidRPr="00FA60D6">
        <w:rPr>
          <w:color w:val="231F20"/>
        </w:rPr>
        <w:t>Članak 3. Odluke o izvršavanju proračunu Grada Vinkovaca za 2024 . godinu</w:t>
      </w:r>
      <w:r w:rsidRPr="00FA60D6">
        <w:rPr>
          <w:color w:val="231F20"/>
          <w:spacing w:val="40"/>
        </w:rPr>
        <w:t xml:space="preserve"> </w:t>
      </w:r>
      <w:r w:rsidRPr="00FA60D6">
        <w:rPr>
          <w:color w:val="231F20"/>
        </w:rPr>
        <w:t xml:space="preserve">mjenja se i </w:t>
      </w:r>
      <w:r w:rsidRPr="00FA60D6">
        <w:rPr>
          <w:color w:val="231F20"/>
          <w:spacing w:val="-2"/>
        </w:rPr>
        <w:t>glasi:</w:t>
      </w:r>
    </w:p>
    <w:p w14:paraId="5BD4A927" w14:textId="77777777" w:rsidR="001E6D66" w:rsidRPr="00FA60D6" w:rsidRDefault="00000000">
      <w:pPr>
        <w:pStyle w:val="BodyText"/>
        <w:spacing w:before="1"/>
        <w:ind w:left="1104"/>
        <w:jc w:val="both"/>
      </w:pPr>
      <w:r w:rsidRPr="00FA60D6">
        <w:rPr>
          <w:color w:val="231F20"/>
        </w:rPr>
        <w:t>„Proračun</w:t>
      </w:r>
      <w:r w:rsidRPr="00FA60D6">
        <w:rPr>
          <w:color w:val="231F20"/>
          <w:spacing w:val="-4"/>
        </w:rPr>
        <w:t xml:space="preserve"> </w:t>
      </w:r>
      <w:r w:rsidRPr="00FA60D6">
        <w:rPr>
          <w:color w:val="231F20"/>
        </w:rPr>
        <w:t>se</w:t>
      </w:r>
      <w:r w:rsidRPr="00FA60D6">
        <w:rPr>
          <w:color w:val="231F20"/>
          <w:spacing w:val="57"/>
        </w:rPr>
        <w:t xml:space="preserve"> </w:t>
      </w:r>
      <w:r w:rsidRPr="00FA60D6">
        <w:rPr>
          <w:color w:val="231F20"/>
        </w:rPr>
        <w:t>sastoji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od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Općeg</w:t>
      </w:r>
      <w:r w:rsidRPr="00FA60D6">
        <w:rPr>
          <w:color w:val="231F20"/>
          <w:spacing w:val="-4"/>
        </w:rPr>
        <w:t xml:space="preserve"> </w:t>
      </w:r>
      <w:r w:rsidRPr="00FA60D6">
        <w:rPr>
          <w:color w:val="231F20"/>
        </w:rPr>
        <w:t>i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Posebnog</w:t>
      </w:r>
      <w:r w:rsidRPr="00FA60D6">
        <w:rPr>
          <w:color w:val="231F20"/>
          <w:spacing w:val="-4"/>
        </w:rPr>
        <w:t xml:space="preserve"> </w:t>
      </w:r>
      <w:r w:rsidRPr="00FA60D6">
        <w:rPr>
          <w:color w:val="231F20"/>
        </w:rPr>
        <w:t>dijela te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Plana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razvojnih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  <w:spacing w:val="-2"/>
        </w:rPr>
        <w:t>programa.</w:t>
      </w:r>
    </w:p>
    <w:p w14:paraId="086A1164" w14:textId="77777777" w:rsidR="001E6D66" w:rsidRPr="00FA60D6" w:rsidRDefault="00000000">
      <w:pPr>
        <w:pStyle w:val="BodyText"/>
        <w:ind w:left="395" w:right="231" w:firstLine="708"/>
        <w:jc w:val="both"/>
      </w:pPr>
      <w:r w:rsidRPr="00FA60D6">
        <w:rPr>
          <w:color w:val="231F20"/>
        </w:rPr>
        <w:t>Opći dio Proračuna sadrži: Račun prihoda i rashoda za 2024. i Projekciju za razdoblje 2025. i 2026. godinu i Račun financiranja za 2024. godinu i Projekciju za razdoblje 2025. i 2026. godinu.</w:t>
      </w:r>
    </w:p>
    <w:p w14:paraId="6829E319" w14:textId="77777777" w:rsidR="001E6D66" w:rsidRPr="00FA60D6" w:rsidRDefault="001E6D66">
      <w:pPr>
        <w:jc w:val="both"/>
        <w:rPr>
          <w:rFonts w:ascii="Times New Roman" w:hAnsi="Times New Roman" w:cs="Times New Roman"/>
          <w:sz w:val="24"/>
          <w:szCs w:val="24"/>
        </w:rPr>
        <w:sectPr w:rsidR="001E6D66" w:rsidRPr="00FA60D6">
          <w:type w:val="continuous"/>
          <w:pgSz w:w="11910" w:h="16840"/>
          <w:pgMar w:top="1920" w:right="1180" w:bottom="280" w:left="1020" w:header="720" w:footer="720" w:gutter="0"/>
          <w:cols w:space="720"/>
        </w:sectPr>
      </w:pPr>
    </w:p>
    <w:p w14:paraId="7983BF6E" w14:textId="77777777" w:rsidR="001E6D66" w:rsidRPr="00FA60D6" w:rsidRDefault="001E6D66">
      <w:pPr>
        <w:pStyle w:val="BodyText"/>
        <w:spacing w:before="4"/>
      </w:pPr>
    </w:p>
    <w:p w14:paraId="4E53CCA8" w14:textId="77777777" w:rsidR="001E6D66" w:rsidRPr="00FA60D6" w:rsidRDefault="00000000">
      <w:pPr>
        <w:pStyle w:val="BodyText"/>
        <w:spacing w:before="90"/>
        <w:ind w:left="396" w:right="232" w:firstLine="709"/>
        <w:jc w:val="both"/>
      </w:pPr>
      <w:r w:rsidRPr="00FA60D6">
        <w:rPr>
          <w:color w:val="231F20"/>
        </w:rPr>
        <w:t>U Računu prihoda i rashoda iskazani su prihodi poslovanja i prihodi od prodaje nefinancijske imovine u iznosu od 54.079.963,39 €, te rashodi poslovanja i rashodi za nabavu nefinancijske imovine u iznosu od 55.049.157,67 €, te višak prethodnih godina u iznosu 184.896,37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€.</w:t>
      </w:r>
    </w:p>
    <w:p w14:paraId="7FDF1FDF" w14:textId="77777777" w:rsidR="001E6D66" w:rsidRPr="00FA60D6" w:rsidRDefault="00000000">
      <w:pPr>
        <w:pStyle w:val="BodyText"/>
        <w:spacing w:before="195"/>
        <w:ind w:left="394" w:right="235" w:firstLine="708"/>
        <w:jc w:val="both"/>
      </w:pPr>
      <w:r w:rsidRPr="00FA60D6">
        <w:rPr>
          <w:color w:val="231F20"/>
        </w:rPr>
        <w:t>U Računu financiranja iskazani su izdaci za otplate glavnice kratkoročnog zaduženja 3.440.000,00 € izdaci za otplatu glavnice dugoročnog zaduženja 370.588,80 €, izdaci za predfinanicranje Vinkovačkog vodovoda i kanalizacije 400.000,00 €, izdaci proračunskih korisnika 3.000,00 €, primici od kreditnog zaduženja u iznosu 4.466.986,71 €, i primici od predfinanciranja 530.900,00 €.</w:t>
      </w:r>
    </w:p>
    <w:p w14:paraId="2DD69BDC" w14:textId="77777777" w:rsidR="001E6D66" w:rsidRPr="00FA60D6" w:rsidRDefault="00000000">
      <w:pPr>
        <w:pStyle w:val="BodyText"/>
        <w:ind w:left="394" w:right="235" w:firstLine="708"/>
        <w:jc w:val="both"/>
      </w:pPr>
      <w:r w:rsidRPr="00FA60D6">
        <w:rPr>
          <w:color w:val="231F20"/>
        </w:rPr>
        <w:t>Posebni dio Proračuna sastoji se od</w:t>
      </w:r>
      <w:r w:rsidRPr="00FA60D6">
        <w:rPr>
          <w:color w:val="231F20"/>
          <w:spacing w:val="40"/>
        </w:rPr>
        <w:t xml:space="preserve"> </w:t>
      </w:r>
      <w:r w:rsidRPr="00FA60D6">
        <w:rPr>
          <w:color w:val="231F20"/>
        </w:rPr>
        <w:t>Plana rashoda i izdataka proračunskih korisnika iskazanih po organizacijskoj, ekonomskoj, programskoj klasifikaciji, izvorima financiranja i obrazloženja posebnog dijela.</w:t>
      </w:r>
    </w:p>
    <w:p w14:paraId="1D26057D" w14:textId="77777777" w:rsidR="001E6D66" w:rsidRPr="00FA60D6" w:rsidRDefault="00000000">
      <w:pPr>
        <w:pStyle w:val="BodyText"/>
        <w:ind w:left="394" w:right="235" w:firstLine="708"/>
        <w:jc w:val="both"/>
      </w:pPr>
      <w:r w:rsidRPr="00FA60D6">
        <w:rPr>
          <w:color w:val="231F20"/>
        </w:rPr>
        <w:t>Ovaj Proračun, konsolidirani je Proračun i sačinjen je na temelju Financijskih planova organizacijskih jedinica Grada Vinkovaca (upravnih odjela) i proračunskih korisnika iz njihove nadležnosti.“</w:t>
      </w:r>
    </w:p>
    <w:p w14:paraId="56AD5996" w14:textId="77777777" w:rsidR="001E6D66" w:rsidRPr="00FA60D6" w:rsidRDefault="001E6D66">
      <w:pPr>
        <w:pStyle w:val="BodyText"/>
      </w:pPr>
    </w:p>
    <w:p w14:paraId="5352ACC7" w14:textId="77777777" w:rsidR="001E6D66" w:rsidRPr="00FA60D6" w:rsidRDefault="001E6D66">
      <w:pPr>
        <w:pStyle w:val="BodyText"/>
      </w:pPr>
    </w:p>
    <w:p w14:paraId="25BB2D9B" w14:textId="77777777" w:rsidR="001E6D66" w:rsidRPr="00FA60D6" w:rsidRDefault="001E6D66">
      <w:pPr>
        <w:pStyle w:val="BodyText"/>
        <w:spacing w:before="5"/>
      </w:pPr>
    </w:p>
    <w:p w14:paraId="18D14896" w14:textId="77777777" w:rsidR="001E6D66" w:rsidRPr="00FA60D6" w:rsidRDefault="00000000">
      <w:pPr>
        <w:pStyle w:val="Heading1"/>
        <w:ind w:right="2523"/>
      </w:pPr>
      <w:r w:rsidRPr="00FA60D6">
        <w:rPr>
          <w:color w:val="231F20"/>
        </w:rPr>
        <w:t>Članak</w:t>
      </w:r>
      <w:r w:rsidRPr="00FA60D6">
        <w:rPr>
          <w:color w:val="231F20"/>
          <w:spacing w:val="-4"/>
        </w:rPr>
        <w:t xml:space="preserve"> </w:t>
      </w:r>
      <w:r w:rsidRPr="00FA60D6">
        <w:rPr>
          <w:color w:val="231F20"/>
          <w:spacing w:val="-5"/>
        </w:rPr>
        <w:t>3.</w:t>
      </w:r>
    </w:p>
    <w:p w14:paraId="2FDA5B97" w14:textId="77777777" w:rsidR="001E6D66" w:rsidRPr="00FA60D6" w:rsidRDefault="001E6D66">
      <w:pPr>
        <w:pStyle w:val="BodyText"/>
        <w:spacing w:before="7"/>
        <w:rPr>
          <w:b/>
        </w:rPr>
      </w:pPr>
    </w:p>
    <w:p w14:paraId="66F87310" w14:textId="77777777" w:rsidR="001E6D66" w:rsidRPr="00FA60D6" w:rsidRDefault="00000000">
      <w:pPr>
        <w:pStyle w:val="BodyText"/>
        <w:spacing w:before="1"/>
        <w:ind w:left="395" w:right="237" w:firstLine="707"/>
        <w:jc w:val="both"/>
      </w:pPr>
      <w:r w:rsidRPr="00FA60D6">
        <w:rPr>
          <w:color w:val="231F20"/>
        </w:rPr>
        <w:t>Ova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Odluka stupa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na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snagu prvog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dana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od dana objave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u "Službenom glasniku"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 xml:space="preserve">Grada </w:t>
      </w:r>
      <w:r w:rsidRPr="00FA60D6">
        <w:rPr>
          <w:color w:val="231F20"/>
          <w:spacing w:val="-2"/>
        </w:rPr>
        <w:t>Vinkovaca.</w:t>
      </w:r>
    </w:p>
    <w:p w14:paraId="64632A64" w14:textId="77777777" w:rsidR="001E6D66" w:rsidRPr="00FA60D6" w:rsidRDefault="001E6D66">
      <w:pPr>
        <w:pStyle w:val="BodyText"/>
      </w:pPr>
    </w:p>
    <w:p w14:paraId="4B5E28A7" w14:textId="77777777" w:rsidR="001E6D66" w:rsidRPr="00FA60D6" w:rsidRDefault="00000000">
      <w:pPr>
        <w:pStyle w:val="BodyText"/>
        <w:spacing w:before="7"/>
      </w:pPr>
      <w:r w:rsidRPr="00FA60D6">
        <w:rPr>
          <w:noProof/>
        </w:rPr>
        <w:drawing>
          <wp:anchor distT="0" distB="0" distL="0" distR="0" simplePos="0" relativeHeight="251657216" behindDoc="0" locked="0" layoutInCell="1" allowOverlap="1" wp14:anchorId="5AA36025" wp14:editId="48AC46C7">
            <wp:simplePos x="0" y="0"/>
            <wp:positionH relativeFrom="page">
              <wp:posOffset>1441739</wp:posOffset>
            </wp:positionH>
            <wp:positionV relativeFrom="paragraph">
              <wp:posOffset>224133</wp:posOffset>
            </wp:positionV>
            <wp:extent cx="2794388" cy="660082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388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4A5ED7" w14:textId="77777777" w:rsidR="001E6D66" w:rsidRPr="00FA60D6" w:rsidRDefault="001E6D66">
      <w:pPr>
        <w:pStyle w:val="BodyText"/>
      </w:pPr>
    </w:p>
    <w:p w14:paraId="1E254595" w14:textId="77777777" w:rsidR="001E6D66" w:rsidRPr="00FA60D6" w:rsidRDefault="001E6D66">
      <w:pPr>
        <w:pStyle w:val="BodyText"/>
        <w:spacing w:before="3"/>
      </w:pPr>
    </w:p>
    <w:p w14:paraId="16EB3920" w14:textId="77777777" w:rsidR="001E6D66" w:rsidRPr="00FA60D6" w:rsidRDefault="00000000">
      <w:pPr>
        <w:spacing w:before="93" w:line="237" w:lineRule="auto"/>
        <w:ind w:left="394" w:right="6495"/>
        <w:rPr>
          <w:rFonts w:ascii="Times New Roman" w:hAnsi="Times New Roman" w:cs="Times New Roman"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GRADSKO VIJEĆE </w:t>
      </w:r>
      <w:r w:rsidRPr="00FA60D6">
        <w:rPr>
          <w:rFonts w:ascii="Times New Roman" w:hAnsi="Times New Roman" w:cs="Times New Roman"/>
          <w:color w:val="231F20"/>
          <w:sz w:val="24"/>
          <w:szCs w:val="24"/>
        </w:rPr>
        <w:t>KLASA:</w:t>
      </w:r>
      <w:r w:rsidRPr="00FA60D6">
        <w:rPr>
          <w:rFonts w:ascii="Times New Roman" w:hAnsi="Times New Roman" w:cs="Times New Roman"/>
          <w:color w:val="231F20"/>
          <w:spacing w:val="-2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color w:val="231F20"/>
          <w:sz w:val="24"/>
          <w:szCs w:val="24"/>
        </w:rPr>
        <w:t xml:space="preserve">400-02/23-01/01 </w:t>
      </w:r>
      <w:r w:rsidRPr="00FA60D6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URBROJ:</w:t>
      </w:r>
      <w:r w:rsidRPr="00FA60D6">
        <w:rPr>
          <w:rFonts w:ascii="Times New Roman" w:hAnsi="Times New Roman" w:cs="Times New Roman"/>
          <w:color w:val="231F20"/>
          <w:spacing w:val="-8"/>
          <w:sz w:val="24"/>
          <w:szCs w:val="24"/>
          <w:u w:val="single" w:color="231F20"/>
        </w:rPr>
        <w:t xml:space="preserve"> </w:t>
      </w:r>
      <w:r w:rsidRPr="00FA60D6">
        <w:rPr>
          <w:rFonts w:ascii="Times New Roman" w:hAnsi="Times New Roman" w:cs="Times New Roman"/>
          <w:color w:val="231F20"/>
          <w:sz w:val="24"/>
          <w:szCs w:val="24"/>
          <w:u w:val="single" w:color="231F20"/>
        </w:rPr>
        <w:t>2196-4-1-24-</w:t>
      </w:r>
      <w:r w:rsidRPr="00FA60D6">
        <w:rPr>
          <w:rFonts w:ascii="Times New Roman" w:hAnsi="Times New Roman" w:cs="Times New Roman"/>
          <w:color w:val="231F20"/>
          <w:spacing w:val="-5"/>
          <w:sz w:val="24"/>
          <w:szCs w:val="24"/>
          <w:u w:val="single" w:color="231F20"/>
        </w:rPr>
        <w:t>19</w:t>
      </w:r>
    </w:p>
    <w:p w14:paraId="58FB4BDA" w14:textId="77777777" w:rsidR="001E6D66" w:rsidRPr="00FA60D6" w:rsidRDefault="00000000">
      <w:pPr>
        <w:pStyle w:val="BodyText"/>
        <w:spacing w:line="275" w:lineRule="exact"/>
        <w:ind w:left="394"/>
      </w:pPr>
      <w:r w:rsidRPr="00FA60D6">
        <w:rPr>
          <w:color w:val="231F20"/>
        </w:rPr>
        <w:t>Vinkovci,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20.</w:t>
      </w:r>
      <w:r w:rsidRPr="00FA60D6">
        <w:rPr>
          <w:color w:val="231F20"/>
          <w:spacing w:val="-3"/>
        </w:rPr>
        <w:t xml:space="preserve"> </w:t>
      </w:r>
      <w:r w:rsidRPr="00FA60D6">
        <w:rPr>
          <w:color w:val="231F20"/>
        </w:rPr>
        <w:t>prosinca</w:t>
      </w:r>
      <w:r w:rsidRPr="00FA60D6">
        <w:rPr>
          <w:color w:val="231F20"/>
          <w:spacing w:val="56"/>
        </w:rPr>
        <w:t xml:space="preserve"> </w:t>
      </w:r>
      <w:r w:rsidRPr="00FA60D6">
        <w:rPr>
          <w:color w:val="231F20"/>
          <w:spacing w:val="-2"/>
        </w:rPr>
        <w:t>2024..god.</w:t>
      </w:r>
    </w:p>
    <w:p w14:paraId="3B99D21F" w14:textId="77777777" w:rsidR="001E6D66" w:rsidRPr="00FA60D6" w:rsidRDefault="001E6D66">
      <w:pPr>
        <w:pStyle w:val="BodyText"/>
        <w:spacing w:before="1"/>
      </w:pPr>
    </w:p>
    <w:p w14:paraId="171EC6A2" w14:textId="77777777" w:rsidR="001E6D66" w:rsidRPr="00FA60D6" w:rsidRDefault="00000000">
      <w:pPr>
        <w:spacing w:before="90"/>
        <w:ind w:left="4715"/>
        <w:rPr>
          <w:rFonts w:ascii="Times New Roman" w:hAnsi="Times New Roman" w:cs="Times New Roman"/>
          <w:b/>
          <w:sz w:val="24"/>
          <w:szCs w:val="24"/>
        </w:rPr>
      </w:pP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PREDSJEDNIK</w:t>
      </w:r>
      <w:r w:rsidRPr="00FA60D6">
        <w:rPr>
          <w:rFonts w:ascii="Times New Roman" w:hAnsi="Times New Roman" w:cs="Times New Roman"/>
          <w:b/>
          <w:color w:val="231F20"/>
          <w:spacing w:val="-7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z w:val="24"/>
          <w:szCs w:val="24"/>
        </w:rPr>
        <w:t>GRADSKOG</w:t>
      </w:r>
      <w:r w:rsidRPr="00FA60D6">
        <w:rPr>
          <w:rFonts w:ascii="Times New Roman" w:hAnsi="Times New Roman" w:cs="Times New Roman"/>
          <w:b/>
          <w:color w:val="231F20"/>
          <w:spacing w:val="-8"/>
          <w:sz w:val="24"/>
          <w:szCs w:val="24"/>
        </w:rPr>
        <w:t xml:space="preserve"> </w:t>
      </w:r>
      <w:r w:rsidRPr="00FA60D6">
        <w:rPr>
          <w:rFonts w:ascii="Times New Roman" w:hAnsi="Times New Roman" w:cs="Times New Roman"/>
          <w:b/>
          <w:color w:val="231F20"/>
          <w:spacing w:val="-2"/>
          <w:sz w:val="24"/>
          <w:szCs w:val="24"/>
        </w:rPr>
        <w:t>VIJEĆA</w:t>
      </w:r>
    </w:p>
    <w:p w14:paraId="12B6E063" w14:textId="77777777" w:rsidR="001E6D66" w:rsidRPr="00FA60D6" w:rsidRDefault="00000000">
      <w:pPr>
        <w:pStyle w:val="Heading1"/>
        <w:ind w:left="5615"/>
        <w:jc w:val="left"/>
      </w:pPr>
      <w:r w:rsidRPr="00FA60D6">
        <w:rPr>
          <w:color w:val="231F20"/>
        </w:rPr>
        <w:t>Mladen</w:t>
      </w:r>
      <w:r w:rsidRPr="00FA60D6">
        <w:rPr>
          <w:color w:val="231F20"/>
          <w:spacing w:val="-2"/>
        </w:rPr>
        <w:t xml:space="preserve"> </w:t>
      </w:r>
      <w:r w:rsidRPr="00FA60D6">
        <w:rPr>
          <w:color w:val="231F20"/>
        </w:rPr>
        <w:t>Karlić,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dr.med.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</w:rPr>
        <w:t>v.</w:t>
      </w:r>
      <w:r w:rsidRPr="00FA60D6">
        <w:rPr>
          <w:color w:val="231F20"/>
          <w:spacing w:val="-1"/>
        </w:rPr>
        <w:t xml:space="preserve"> </w:t>
      </w:r>
      <w:r w:rsidRPr="00FA60D6">
        <w:rPr>
          <w:color w:val="231F20"/>
          <w:spacing w:val="-5"/>
        </w:rPr>
        <w:t>r.</w:t>
      </w:r>
    </w:p>
    <w:sectPr w:rsidR="001E6D66" w:rsidRPr="00FA60D6" w:rsidSect="0057462C">
      <w:pgSz w:w="11910" w:h="16840"/>
      <w:pgMar w:top="1500" w:right="11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4A6771"/>
    <w:multiLevelType w:val="hybridMultilevel"/>
    <w:tmpl w:val="730040DC"/>
    <w:lvl w:ilvl="0" w:tplc="BD760274">
      <w:numFmt w:val="bullet"/>
      <w:lvlText w:val="•"/>
      <w:lvlJc w:val="left"/>
      <w:pPr>
        <w:ind w:left="675" w:hanging="371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010202"/>
        <w:w w:val="75"/>
        <w:sz w:val="25"/>
        <w:szCs w:val="25"/>
        <w:lang w:val="hr-HR" w:eastAsia="en-US" w:bidi="ar-SA"/>
      </w:rPr>
    </w:lvl>
    <w:lvl w:ilvl="1" w:tplc="9AE4BD70">
      <w:numFmt w:val="bullet"/>
      <w:lvlText w:val="•"/>
      <w:lvlJc w:val="left"/>
      <w:pPr>
        <w:ind w:left="1582" w:hanging="371"/>
      </w:pPr>
      <w:rPr>
        <w:rFonts w:hint="default"/>
        <w:lang w:val="hr-HR" w:eastAsia="en-US" w:bidi="ar-SA"/>
      </w:rPr>
    </w:lvl>
    <w:lvl w:ilvl="2" w:tplc="E6086B18">
      <w:numFmt w:val="bullet"/>
      <w:lvlText w:val="•"/>
      <w:lvlJc w:val="left"/>
      <w:pPr>
        <w:ind w:left="2485" w:hanging="371"/>
      </w:pPr>
      <w:rPr>
        <w:rFonts w:hint="default"/>
        <w:lang w:val="hr-HR" w:eastAsia="en-US" w:bidi="ar-SA"/>
      </w:rPr>
    </w:lvl>
    <w:lvl w:ilvl="3" w:tplc="0D76D92E">
      <w:numFmt w:val="bullet"/>
      <w:lvlText w:val="•"/>
      <w:lvlJc w:val="left"/>
      <w:pPr>
        <w:ind w:left="3387" w:hanging="371"/>
      </w:pPr>
      <w:rPr>
        <w:rFonts w:hint="default"/>
        <w:lang w:val="hr-HR" w:eastAsia="en-US" w:bidi="ar-SA"/>
      </w:rPr>
    </w:lvl>
    <w:lvl w:ilvl="4" w:tplc="6E181790">
      <w:numFmt w:val="bullet"/>
      <w:lvlText w:val="•"/>
      <w:lvlJc w:val="left"/>
      <w:pPr>
        <w:ind w:left="4290" w:hanging="371"/>
      </w:pPr>
      <w:rPr>
        <w:rFonts w:hint="default"/>
        <w:lang w:val="hr-HR" w:eastAsia="en-US" w:bidi="ar-SA"/>
      </w:rPr>
    </w:lvl>
    <w:lvl w:ilvl="5" w:tplc="4CCEFA9A">
      <w:numFmt w:val="bullet"/>
      <w:lvlText w:val="•"/>
      <w:lvlJc w:val="left"/>
      <w:pPr>
        <w:ind w:left="5192" w:hanging="371"/>
      </w:pPr>
      <w:rPr>
        <w:rFonts w:hint="default"/>
        <w:lang w:val="hr-HR" w:eastAsia="en-US" w:bidi="ar-SA"/>
      </w:rPr>
    </w:lvl>
    <w:lvl w:ilvl="6" w:tplc="848EB30C">
      <w:numFmt w:val="bullet"/>
      <w:lvlText w:val="•"/>
      <w:lvlJc w:val="left"/>
      <w:pPr>
        <w:ind w:left="6095" w:hanging="371"/>
      </w:pPr>
      <w:rPr>
        <w:rFonts w:hint="default"/>
        <w:lang w:val="hr-HR" w:eastAsia="en-US" w:bidi="ar-SA"/>
      </w:rPr>
    </w:lvl>
    <w:lvl w:ilvl="7" w:tplc="600E54A0">
      <w:numFmt w:val="bullet"/>
      <w:lvlText w:val="•"/>
      <w:lvlJc w:val="left"/>
      <w:pPr>
        <w:ind w:left="6997" w:hanging="371"/>
      </w:pPr>
      <w:rPr>
        <w:rFonts w:hint="default"/>
        <w:lang w:val="hr-HR" w:eastAsia="en-US" w:bidi="ar-SA"/>
      </w:rPr>
    </w:lvl>
    <w:lvl w:ilvl="8" w:tplc="FE243F94">
      <w:numFmt w:val="bullet"/>
      <w:lvlText w:val="•"/>
      <w:lvlJc w:val="left"/>
      <w:pPr>
        <w:ind w:left="7900" w:hanging="371"/>
      </w:pPr>
      <w:rPr>
        <w:rFonts w:hint="default"/>
        <w:lang w:val="hr-HR" w:eastAsia="en-US" w:bidi="ar-SA"/>
      </w:rPr>
    </w:lvl>
  </w:abstractNum>
  <w:num w:numId="1" w16cid:durableId="355425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66"/>
    <w:rsid w:val="001E6D66"/>
    <w:rsid w:val="0057462C"/>
    <w:rsid w:val="009A0F87"/>
    <w:rsid w:val="00E66465"/>
    <w:rsid w:val="00FA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632CB"/>
  <w15:docId w15:val="{AE1E0223-311A-49B0-861A-E7045AB89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268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675" w:hanging="372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spacing w:before="4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grad1</dc:creator>
  <cp:lastModifiedBy>Kresimir Begcevic</cp:lastModifiedBy>
  <cp:revision>3</cp:revision>
  <dcterms:created xsi:type="dcterms:W3CDTF">2025-01-03T11:37:00Z</dcterms:created>
  <dcterms:modified xsi:type="dcterms:W3CDTF">2025-01-03T11:37:00Z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Adobe InDesign 15.1 (Macintosh)</vt:lpwstr>
  </property>
  <property fmtid="{D5CDD505-2E9C-101B-9397-08002B2CF9AE}" pid="4" name="LastSaved">
    <vt:filetime>2025-01-03T00:00:00Z</vt:filetime>
  </property>
  <property fmtid="{D5CDD505-2E9C-101B-9397-08002B2CF9AE}" pid="5" name="Producer">
    <vt:lpwstr>Adobe PDF Library 15.0</vt:lpwstr>
  </property>
</Properties>
</file>